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AF" w:rsidRDefault="001353AF" w:rsidP="00C40226">
      <w:pPr>
        <w:spacing w:before="100" w:beforeAutospacing="1" w:after="100" w:afterAutospacing="1"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SAK ENTITAS PRIVAT sebagai Pengganti SAK ETAP</w:t>
      </w:r>
    </w:p>
    <w:p w:rsidR="00FE1BEE" w:rsidRPr="00C40226" w:rsidRDefault="009163EA" w:rsidP="00C40226">
      <w:pPr>
        <w:pStyle w:val="ListParagraph"/>
        <w:numPr>
          <w:ilvl w:val="0"/>
          <w:numId w:val="1"/>
        </w:numPr>
        <w:spacing w:before="100" w:beforeAutospacing="1" w:after="100" w:afterAutospacing="1" w:line="240" w:lineRule="auto"/>
        <w:ind w:left="284"/>
        <w:rPr>
          <w:rFonts w:ascii="Times New Roman" w:eastAsia="Times New Roman" w:hAnsi="Times New Roman" w:cs="Times New Roman"/>
          <w:sz w:val="28"/>
          <w:szCs w:val="28"/>
          <w:lang w:eastAsia="id-ID"/>
        </w:rPr>
      </w:pPr>
      <w:r w:rsidRPr="001353AF">
        <w:rPr>
          <w:rFonts w:ascii="Times New Roman" w:eastAsia="Times New Roman" w:hAnsi="Times New Roman" w:cs="Times New Roman"/>
          <w:sz w:val="28"/>
          <w:szCs w:val="28"/>
          <w:lang w:eastAsia="id-ID"/>
        </w:rPr>
        <w:t>Pendahuluan</w:t>
      </w:r>
    </w:p>
    <w:p w:rsidR="00FE1BEE" w:rsidRPr="00FE1BEE" w:rsidRDefault="00FE1BEE" w:rsidP="00CA2DF9">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Sejak Indonesia memutuskan untuk melakukan konvergensi SAK ke IFRS, konfigurasi SAK di Indonesia mengalami perubahan yang cukup signifikan. Dimana SAK terbagi kedalam beberapa pilar utama yaitu SAK yang diperuntukan bagi entitas berakuntabilitas publik signifikan, lalu SAK ETAP untuk entitas yang tidak berakuntabilitas publik signifikan yang disahkan pada tanggal 19 Mei 2009, dan SAK EMKM untuk entitas mikro kecil dan menengah yang disahkan pada tanggal 24 Oktober 2016. Selain itu untuk entitas yang menjalankan transaksi syariah mengacu pada SAK Syariah. </w:t>
      </w:r>
    </w:p>
    <w:p w:rsidR="00FE1BEE" w:rsidRPr="00FE1BEE" w:rsidRDefault="00FE1BEE" w:rsidP="00CA2DF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Nanti pasca SAK EP diberlakukan maka pilar SAK di Indonesia akan berubah lagi, dimana SAK EP akan menjadi salah satu pilar utama tier 2 SAK di Indonesia menggantikan SAK ETAP. SAK EP akan lebih sederhana dari SAK tier 1 dan lebih komprehensif dari SAK ETAP. Entitas yang sebelumnya menggunakan SAK ETAP dapat beralih ke SAK EP, namun entitas sudah menggunakan SAK maka dilarang untuk meralih ke SAK EP.</w:t>
      </w:r>
    </w:p>
    <w:p w:rsidR="009163EA" w:rsidRPr="009163EA" w:rsidRDefault="009163EA" w:rsidP="00CA2DF9">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9163EA">
        <w:rPr>
          <w:rFonts w:ascii="Times New Roman" w:eastAsia="Times New Roman" w:hAnsi="Times New Roman" w:cs="Times New Roman"/>
          <w:sz w:val="24"/>
          <w:szCs w:val="24"/>
          <w:lang w:eastAsia="id-ID"/>
        </w:rPr>
        <w:t xml:space="preserve">Standar Akuntansi Keuangan (SAK) Entitas Privat disusun untuk memenuhi kebutuhan pelaporan keuangan entitas privat sebagaimana dideskripsikan dalam Bab 1 </w:t>
      </w:r>
      <w:r w:rsidRPr="009163EA">
        <w:rPr>
          <w:rFonts w:ascii="Times New Roman" w:eastAsia="Times New Roman" w:hAnsi="Times New Roman" w:cs="Times New Roman"/>
          <w:i/>
          <w:iCs/>
          <w:sz w:val="24"/>
          <w:szCs w:val="24"/>
          <w:lang w:eastAsia="id-ID"/>
        </w:rPr>
        <w:t>Entitas Privat</w:t>
      </w:r>
      <w:r w:rsidRPr="009163EA">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9163EA">
        <w:rPr>
          <w:rFonts w:ascii="Times New Roman" w:eastAsia="Times New Roman" w:hAnsi="Times New Roman" w:cs="Times New Roman"/>
          <w:sz w:val="24"/>
          <w:szCs w:val="24"/>
          <w:lang w:eastAsia="id-ID"/>
        </w:rPr>
        <w:t>SAK Entitas Privat ditujukan untuk digunakan oleh entitas yang tidak memiliki akuntabilitas publik dan menerbitkan laporan keuangan untuk tujuan umum (</w:t>
      </w:r>
      <w:r w:rsidRPr="009163EA">
        <w:rPr>
          <w:rFonts w:ascii="Times New Roman" w:eastAsia="Times New Roman" w:hAnsi="Times New Roman" w:cs="Times New Roman"/>
          <w:i/>
          <w:iCs/>
          <w:sz w:val="24"/>
          <w:szCs w:val="24"/>
          <w:lang w:eastAsia="id-ID"/>
        </w:rPr>
        <w:t>general purpose financial statements</w:t>
      </w:r>
      <w:r w:rsidRPr="009163EA">
        <w:rPr>
          <w:rFonts w:ascii="Times New Roman" w:eastAsia="Times New Roman" w:hAnsi="Times New Roman" w:cs="Times New Roman"/>
          <w:sz w:val="24"/>
          <w:szCs w:val="24"/>
          <w:lang w:eastAsia="id-ID"/>
        </w:rPr>
        <w:t>) bagi pengguna eksternal. Namun demikian, entitas yang memiliki akuntabilitas publik dapat menggunakan SAK Entitas Privat jika otoritas berwenang regulasi yang mengizinkan penggunaan SAK Entitas Privat.</w:t>
      </w:r>
      <w:r>
        <w:rPr>
          <w:rFonts w:ascii="Times New Roman" w:eastAsia="Times New Roman" w:hAnsi="Times New Roman" w:cs="Times New Roman"/>
          <w:sz w:val="24"/>
          <w:szCs w:val="24"/>
          <w:lang w:eastAsia="id-ID"/>
        </w:rPr>
        <w:t xml:space="preserve"> </w:t>
      </w:r>
      <w:r w:rsidRPr="009163EA">
        <w:rPr>
          <w:rFonts w:ascii="Times New Roman" w:eastAsia="Times New Roman" w:hAnsi="Times New Roman" w:cs="Times New Roman"/>
          <w:sz w:val="24"/>
          <w:szCs w:val="24"/>
          <w:lang w:eastAsia="id-ID"/>
        </w:rPr>
        <w:t>SAK Entitas Privat disusun berdasarkan topik yang dinyatakan dalam Bab 1 sampai dengan Bab 35. Referensi silang ke bab atau paragraf lain hanya berlaku diantara bab-bab di dalam SAK Entitas Privat.</w:t>
      </w:r>
    </w:p>
    <w:p w:rsidR="00C40226" w:rsidRPr="00C40226" w:rsidRDefault="009163EA" w:rsidP="00CA2DF9">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9163EA">
        <w:rPr>
          <w:rFonts w:ascii="Times New Roman" w:eastAsia="Times New Roman" w:hAnsi="Times New Roman" w:cs="Times New Roman"/>
          <w:sz w:val="24"/>
          <w:szCs w:val="24"/>
          <w:lang w:eastAsia="id-ID"/>
        </w:rPr>
        <w:t xml:space="preserve">Dalam SAK Entitas Privat, penyajian wajar laporan keuangan mensyaratkan penyajian secara jujur dampak dari transaksi, peristiwa dan kondisi lain sesuai dengan definisi dan kriteria pengakuan aset, penghasilan dan beban yang diatur dalam BAB 2 </w:t>
      </w:r>
      <w:r w:rsidRPr="009163EA">
        <w:rPr>
          <w:rFonts w:ascii="Times New Roman" w:eastAsia="Times New Roman" w:hAnsi="Times New Roman" w:cs="Times New Roman"/>
          <w:i/>
          <w:iCs/>
          <w:sz w:val="24"/>
          <w:szCs w:val="24"/>
          <w:lang w:eastAsia="id-ID"/>
        </w:rPr>
        <w:t>Konsep dan Prinsip Pervasif.</w:t>
      </w:r>
      <w:r w:rsidRPr="009163EA">
        <w:rPr>
          <w:rFonts w:ascii="Times New Roman" w:eastAsia="Times New Roman" w:hAnsi="Times New Roman" w:cs="Times New Roman"/>
          <w:sz w:val="24"/>
          <w:szCs w:val="24"/>
          <w:lang w:eastAsia="id-ID"/>
        </w:rPr>
        <w:t xml:space="preserve">SAK Entitas Privat dilengkapi dengan Contoh Laporan Keuangan Ilustratif. Contoh tersebut dan contoh yang disampaikan dalam Bab SAK Entitas Privat ini merupakan contoh-contoh yang diadopsi </w:t>
      </w:r>
      <w:r w:rsidRPr="009163EA">
        <w:rPr>
          <w:rFonts w:ascii="Times New Roman" w:eastAsia="Times New Roman" w:hAnsi="Times New Roman" w:cs="Times New Roman"/>
          <w:i/>
          <w:iCs/>
          <w:sz w:val="24"/>
          <w:szCs w:val="24"/>
          <w:lang w:eastAsia="id-ID"/>
        </w:rPr>
        <w:t xml:space="preserve">IFRS for SMEs </w:t>
      </w:r>
      <w:r w:rsidRPr="009163EA">
        <w:rPr>
          <w:rFonts w:ascii="Times New Roman" w:eastAsia="Times New Roman" w:hAnsi="Times New Roman" w:cs="Times New Roman"/>
          <w:sz w:val="24"/>
          <w:szCs w:val="24"/>
          <w:lang w:eastAsia="id-ID"/>
        </w:rPr>
        <w:t>(</w:t>
      </w:r>
      <w:r w:rsidRPr="009163EA">
        <w:rPr>
          <w:rFonts w:ascii="Times New Roman" w:eastAsia="Times New Roman" w:hAnsi="Times New Roman" w:cs="Times New Roman"/>
          <w:i/>
          <w:iCs/>
          <w:sz w:val="24"/>
          <w:szCs w:val="24"/>
          <w:lang w:eastAsia="id-ID"/>
        </w:rPr>
        <w:t>IFRS for SMEs  </w:t>
      </w:r>
      <w:r w:rsidRPr="009163EA">
        <w:rPr>
          <w:rFonts w:ascii="Times New Roman" w:eastAsia="Times New Roman" w:hAnsi="Times New Roman" w:cs="Times New Roman"/>
          <w:sz w:val="24"/>
          <w:szCs w:val="24"/>
          <w:lang w:eastAsia="id-ID"/>
        </w:rPr>
        <w:t>versi 2015 yang berlaku efektif  1 Januari 2017). Penerapan contoh tersebut perlu memperhatikan kesesuaian dengan praktik di Indonesia.</w:t>
      </w:r>
      <w:r>
        <w:rPr>
          <w:rFonts w:ascii="Times New Roman" w:eastAsia="Times New Roman" w:hAnsi="Times New Roman" w:cs="Times New Roman"/>
          <w:sz w:val="24"/>
          <w:szCs w:val="24"/>
          <w:lang w:eastAsia="id-ID"/>
        </w:rPr>
        <w:t xml:space="preserve"> </w:t>
      </w:r>
      <w:r w:rsidRPr="009163EA">
        <w:rPr>
          <w:rFonts w:ascii="Times New Roman" w:eastAsia="Times New Roman" w:hAnsi="Times New Roman" w:cs="Times New Roman"/>
          <w:sz w:val="24"/>
          <w:szCs w:val="24"/>
          <w:lang w:eastAsia="id-ID"/>
        </w:rPr>
        <w:t xml:space="preserve">SAK Entitas Privat berlaku efektif pada tanggal 1 Januari 2025, penerapan dini </w:t>
      </w:r>
      <w:r w:rsidRPr="009163EA">
        <w:rPr>
          <w:rFonts w:ascii="Times New Roman" w:eastAsia="Times New Roman" w:hAnsi="Times New Roman" w:cs="Times New Roman"/>
          <w:sz w:val="24"/>
          <w:szCs w:val="24"/>
          <w:lang w:eastAsia="id-ID"/>
        </w:rPr>
        <w:lastRenderedPageBreak/>
        <w:t>diperkenankan.</w:t>
      </w:r>
      <w:r w:rsidR="00C40226">
        <w:rPr>
          <w:rFonts w:ascii="Times New Roman" w:eastAsia="Times New Roman" w:hAnsi="Times New Roman" w:cs="Times New Roman"/>
          <w:sz w:val="24"/>
          <w:szCs w:val="24"/>
          <w:lang w:eastAsia="id-ID"/>
        </w:rPr>
        <w:t xml:space="preserve"> </w:t>
      </w:r>
      <w:r w:rsidR="00C40226" w:rsidRPr="00C40226">
        <w:rPr>
          <w:rFonts w:ascii="Times New Roman" w:eastAsia="Times New Roman" w:hAnsi="Times New Roman" w:cs="Times New Roman"/>
          <w:sz w:val="24"/>
          <w:szCs w:val="24"/>
          <w:lang w:eastAsia="id-ID"/>
        </w:rPr>
        <w:t xml:space="preserve">SAK EP disusun untuk memenuhi kebutuhan pelaporan keuangan entitas privat yaitu entitas yang tidak memiliki </w:t>
      </w:r>
      <w:r w:rsidR="00C40226" w:rsidRPr="00C40226">
        <w:rPr>
          <w:rFonts w:ascii="Times New Roman" w:eastAsia="Times New Roman" w:hAnsi="Times New Roman" w:cs="Times New Roman"/>
          <w:b/>
          <w:bCs/>
          <w:sz w:val="24"/>
          <w:szCs w:val="24"/>
          <w:lang w:eastAsia="id-ID"/>
        </w:rPr>
        <w:t>akuntabilitas publik</w:t>
      </w:r>
      <w:r w:rsidR="00C40226" w:rsidRPr="00C40226">
        <w:rPr>
          <w:rFonts w:ascii="Times New Roman" w:eastAsia="Times New Roman" w:hAnsi="Times New Roman" w:cs="Times New Roman"/>
          <w:sz w:val="24"/>
          <w:szCs w:val="24"/>
          <w:lang w:eastAsia="id-ID"/>
        </w:rPr>
        <w:t xml:space="preserve"> dan menerbitkan </w:t>
      </w:r>
      <w:r w:rsidR="00C40226" w:rsidRPr="00C40226">
        <w:rPr>
          <w:rFonts w:ascii="Times New Roman" w:eastAsia="Times New Roman" w:hAnsi="Times New Roman" w:cs="Times New Roman"/>
          <w:b/>
          <w:bCs/>
          <w:sz w:val="24"/>
          <w:szCs w:val="24"/>
          <w:lang w:eastAsia="id-ID"/>
        </w:rPr>
        <w:t xml:space="preserve">laporan keuangan untuk tujuan umum </w:t>
      </w:r>
      <w:r w:rsidR="00C40226" w:rsidRPr="00C40226">
        <w:rPr>
          <w:rFonts w:ascii="Times New Roman" w:eastAsia="Times New Roman" w:hAnsi="Times New Roman" w:cs="Times New Roman"/>
          <w:b/>
          <w:bCs/>
          <w:i/>
          <w:iCs/>
          <w:sz w:val="24"/>
          <w:szCs w:val="24"/>
          <w:lang w:eastAsia="id-ID"/>
        </w:rPr>
        <w:t>(general purpose fiancial statements)</w:t>
      </w:r>
      <w:r w:rsidR="00C40226" w:rsidRPr="00C40226">
        <w:rPr>
          <w:rFonts w:ascii="Times New Roman" w:eastAsia="Times New Roman" w:hAnsi="Times New Roman" w:cs="Times New Roman"/>
          <w:sz w:val="24"/>
          <w:szCs w:val="24"/>
          <w:lang w:eastAsia="id-ID"/>
        </w:rPr>
        <w:t xml:space="preserve"> bagi pengguna eksternal. Namun demikian, entitas yang memiliki akuntabilitas publik dapat menggunakan SAK EP jika otoritas berwenang membuat regulasi yang mengizinkan penggunaan SAK EP. </w:t>
      </w:r>
    </w:p>
    <w:p w:rsidR="00C40226" w:rsidRPr="00C40226" w:rsidRDefault="00C40226" w:rsidP="00CA2DF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C40226">
        <w:rPr>
          <w:rFonts w:ascii="Times New Roman" w:eastAsia="Times New Roman" w:hAnsi="Times New Roman" w:cs="Times New Roman"/>
          <w:sz w:val="24"/>
          <w:szCs w:val="24"/>
          <w:lang w:eastAsia="id-ID"/>
        </w:rPr>
        <w:t>Entitas memiliki akuntabilitas publik jika:</w:t>
      </w:r>
    </w:p>
    <w:p w:rsidR="00C40226" w:rsidRPr="00C40226" w:rsidRDefault="00C40226" w:rsidP="00CA2DF9">
      <w:pPr>
        <w:numPr>
          <w:ilvl w:val="0"/>
          <w:numId w:val="3"/>
        </w:numPr>
        <w:spacing w:before="100" w:beforeAutospacing="1" w:after="100" w:afterAutospacing="1" w:line="360" w:lineRule="auto"/>
        <w:rPr>
          <w:rFonts w:ascii="Times New Roman" w:eastAsia="Times New Roman" w:hAnsi="Times New Roman" w:cs="Times New Roman"/>
          <w:sz w:val="24"/>
          <w:szCs w:val="24"/>
          <w:lang w:eastAsia="id-ID"/>
        </w:rPr>
      </w:pPr>
      <w:r w:rsidRPr="00C40226">
        <w:rPr>
          <w:rFonts w:ascii="Times New Roman" w:eastAsia="Times New Roman" w:hAnsi="Times New Roman" w:cs="Times New Roman"/>
          <w:sz w:val="24"/>
          <w:szCs w:val="24"/>
          <w:lang w:eastAsia="id-ID"/>
        </w:rPr>
        <w:t>instrumen utang atau ekuitasnya diperdagangkan di pasar publik atau entitas sedang dalam proses menerbitkan instrumen tersebut untuk diperdagangkan dalam pasar publik (bursa efek domestik atau bursa efek asing atau pasar over-the-counter, termasuk pasar lokal dan regional); atau</w:t>
      </w:r>
    </w:p>
    <w:p w:rsidR="00C40226" w:rsidRPr="00C40226" w:rsidRDefault="00C40226" w:rsidP="00CA2DF9">
      <w:pPr>
        <w:numPr>
          <w:ilvl w:val="0"/>
          <w:numId w:val="3"/>
        </w:numPr>
        <w:spacing w:before="100" w:beforeAutospacing="1" w:after="100" w:afterAutospacing="1" w:line="360" w:lineRule="auto"/>
        <w:rPr>
          <w:rFonts w:ascii="Times New Roman" w:eastAsia="Times New Roman" w:hAnsi="Times New Roman" w:cs="Times New Roman"/>
          <w:sz w:val="24"/>
          <w:szCs w:val="24"/>
          <w:lang w:eastAsia="id-ID"/>
        </w:rPr>
      </w:pPr>
      <w:r w:rsidRPr="00C40226">
        <w:rPr>
          <w:rFonts w:ascii="Times New Roman" w:eastAsia="Times New Roman" w:hAnsi="Times New Roman" w:cs="Times New Roman"/>
          <w:sz w:val="24"/>
          <w:szCs w:val="24"/>
          <w:lang w:eastAsia="id-ID"/>
        </w:rPr>
        <w:t>entitas menguasai aset dalam kapasitas fidusia bagi suatu kelompok pihak luar yang beragam sebagai usaha utamanya (sebagian besar bank, union kredit (koperasi simpan pinjam), perusahaan asuransi, broker/diler sekuritas, reksa dana dan bank investasi memenuhi kriteria kedua ini).</w:t>
      </w:r>
    </w:p>
    <w:p w:rsidR="00C40226" w:rsidRPr="009163EA" w:rsidRDefault="00C40226" w:rsidP="00CA2DF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C40226">
        <w:rPr>
          <w:rFonts w:ascii="Times New Roman" w:eastAsia="Times New Roman" w:hAnsi="Times New Roman" w:cs="Times New Roman"/>
          <w:sz w:val="24"/>
          <w:szCs w:val="24"/>
          <w:lang w:eastAsia="id-ID"/>
        </w:rPr>
        <w:t xml:space="preserve">SAK EP merupakan hasil adopsi dari International Financial Reporting Standard for Small and Medium-sized Entities (IFRS for SMEs) versi 2015. SAK EP terdiri dari 35 Bab dan dilengkapi dengan lampiran dan contoh ilustrasi laporan keuangan. Berikut ini adalah daftar isi dari draft SAK EP : </w:t>
      </w:r>
    </w:p>
    <w:p w:rsidR="00FE1BEE" w:rsidRPr="00FE1BEE" w:rsidRDefault="00FE1BEE" w:rsidP="00CA2DF9">
      <w:pPr>
        <w:pStyle w:val="ListParagraph"/>
        <w:numPr>
          <w:ilvl w:val="0"/>
          <w:numId w:val="1"/>
        </w:numPr>
        <w:spacing w:before="100" w:beforeAutospacing="1" w:after="100" w:afterAutospacing="1" w:line="360" w:lineRule="auto"/>
        <w:ind w:left="284"/>
        <w:rPr>
          <w:rFonts w:ascii="Times New Roman" w:eastAsia="Times New Roman" w:hAnsi="Times New Roman" w:cs="Times New Roman"/>
          <w:sz w:val="32"/>
          <w:szCs w:val="32"/>
          <w:lang w:eastAsia="id-ID"/>
        </w:rPr>
      </w:pPr>
      <w:r w:rsidRPr="00FE1BEE">
        <w:rPr>
          <w:rFonts w:ascii="Times New Roman" w:eastAsia="Times New Roman" w:hAnsi="Times New Roman" w:cs="Times New Roman"/>
          <w:sz w:val="32"/>
          <w:szCs w:val="32"/>
          <w:lang w:eastAsia="id-ID"/>
        </w:rPr>
        <w:t>Isi SAK Entitas Privat</w:t>
      </w:r>
    </w:p>
    <w:tbl>
      <w:tblPr>
        <w:tblW w:w="0" w:type="auto"/>
        <w:tblCellSpacing w:w="0" w:type="dxa"/>
        <w:tblInd w:w="-5" w:type="dxa"/>
        <w:tblCellMar>
          <w:left w:w="0" w:type="dxa"/>
          <w:right w:w="0" w:type="dxa"/>
        </w:tblCellMar>
        <w:tblLook w:val="04A0" w:firstRow="1" w:lastRow="0" w:firstColumn="1" w:lastColumn="0" w:noHBand="0" w:noVBand="1"/>
      </w:tblPr>
      <w:tblGrid>
        <w:gridCol w:w="1418"/>
        <w:gridCol w:w="7603"/>
      </w:tblGrid>
      <w:tr w:rsidR="00FE1BEE" w:rsidRPr="00FE1BEE" w:rsidTr="00FE1BEE">
        <w:trPr>
          <w:gridAfter w:val="1"/>
          <w:wAfter w:w="7603" w:type="dxa"/>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b/>
                <w:bCs/>
                <w:sz w:val="24"/>
                <w:szCs w:val="24"/>
                <w:lang w:val="en-US" w:eastAsia="id-ID"/>
              </w:rPr>
              <w:t>Judul</w:t>
            </w:r>
            <w:proofErr w:type="spellEnd"/>
            <w:r w:rsidRPr="00FE1BEE">
              <w:rPr>
                <w:rFonts w:ascii="Times New Roman" w:eastAsia="Times New Roman" w:hAnsi="Times New Roman" w:cs="Times New Roman"/>
                <w:b/>
                <w:bCs/>
                <w:sz w:val="24"/>
                <w:szCs w:val="24"/>
                <w:lang w:val="en-US" w:eastAsia="id-ID"/>
              </w:rPr>
              <w:t xml:space="preserve"> Bab</w:t>
            </w:r>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Entitas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Privat</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Konsep</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Prinsip</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Pervasif</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heme="minorHAnsi"/>
                <w:color w:val="000000"/>
                <w:sz w:val="24"/>
                <w:szCs w:val="24"/>
                <w:lang w:val="en-US" w:eastAsia="id-ID"/>
              </w:rPr>
              <w:t>Penyajian</w:t>
            </w:r>
            <w:proofErr w:type="spellEnd"/>
            <w:r w:rsidRPr="00FE1BEE">
              <w:rPr>
                <w:rFonts w:ascii="Times New Roman" w:eastAsia="Times New Roman" w:hAnsi="Times New Roman" w:cstheme="minorHAnsi"/>
                <w:color w:val="000000"/>
                <w:sz w:val="24"/>
                <w:szCs w:val="24"/>
                <w:lang w:val="en-US" w:eastAsia="id-ID"/>
              </w:rPr>
              <w:t xml:space="preserve"> </w:t>
            </w:r>
            <w:proofErr w:type="spellStart"/>
            <w:r w:rsidRPr="00FE1BEE">
              <w:rPr>
                <w:rFonts w:ascii="Times New Roman" w:eastAsia="Times New Roman" w:hAnsi="Times New Roman" w:cstheme="minorHAnsi"/>
                <w:color w:val="000000"/>
                <w:sz w:val="24"/>
                <w:szCs w:val="24"/>
                <w:lang w:val="en-US" w:eastAsia="id-ID"/>
              </w:rPr>
              <w:t>Laporan</w:t>
            </w:r>
            <w:proofErr w:type="spellEnd"/>
            <w:r w:rsidRPr="00FE1BEE">
              <w:rPr>
                <w:rFonts w:ascii="Times New Roman" w:eastAsia="Times New Roman" w:hAnsi="Times New Roman" w:cstheme="minorHAnsi"/>
                <w:color w:val="000000"/>
                <w:sz w:val="24"/>
                <w:szCs w:val="24"/>
                <w:lang w:val="en-US" w:eastAsia="id-ID"/>
              </w:rPr>
              <w:t xml:space="preserve"> </w:t>
            </w:r>
            <w:proofErr w:type="spellStart"/>
            <w:r w:rsidRPr="00FE1BEE">
              <w:rPr>
                <w:rFonts w:ascii="Times New Roman" w:eastAsia="Times New Roman" w:hAnsi="Times New Roman" w:cstheme="minorHAnsi"/>
                <w:color w:val="000000"/>
                <w:sz w:val="24"/>
                <w:szCs w:val="24"/>
                <w:lang w:val="en-US" w:eastAsia="id-ID"/>
              </w:rPr>
              <w:t>Keuangan</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4</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Posisi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Keuangan</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5</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Penghasilan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Komprehensif</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Laba</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Rugi</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6</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20" w:after="0" w:line="360" w:lineRule="auto"/>
              <w:ind w:left="380" w:hanging="380"/>
              <w:jc w:val="both"/>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Perubahan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Ekuitas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Laba</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Rugi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Saldo</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Laba</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7</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Arus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Kas</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8</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Catatan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Keuangan</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9</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20" w:after="0" w:line="360" w:lineRule="auto"/>
              <w:ind w:left="780" w:hanging="780"/>
              <w:jc w:val="both"/>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Keuangan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Konsolidasian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Laporan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Keuangan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Tersendiri</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lastRenderedPageBreak/>
              <w:t>10</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Kebijakan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Akuntansi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Estimasi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Kesalahan</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11</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Instrumen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Keuangan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Dasar</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12</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Isu</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Terkait</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Instrumen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Keuangan</w:t>
            </w:r>
            <w:proofErr w:type="spellEnd"/>
            <w:r w:rsidRPr="00FE1BEE">
              <w:rPr>
                <w:rFonts w:ascii="Times New Roman" w:eastAsia="Times New Roman" w:hAnsi="Times New Roman" w:cs="Times New Roman"/>
                <w:sz w:val="24"/>
                <w:szCs w:val="24"/>
                <w:lang w:val="en-US" w:eastAsia="id-ID"/>
              </w:rPr>
              <w:t xml:space="preserve"> Lain</w:t>
            </w:r>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13</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Persediaan</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14</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Investasi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Pada</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Entitas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Asosiasi</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15</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Investasi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Pada</w:t>
            </w:r>
            <w:proofErr w:type="spellEnd"/>
            <w:r w:rsidRPr="00FE1BEE">
              <w:rPr>
                <w:rFonts w:ascii="Times New Roman" w:eastAsia="Times New Roman" w:hAnsi="Times New Roman" w:cs="Times New Roman"/>
                <w:sz w:val="24"/>
                <w:szCs w:val="24"/>
                <w:lang w:val="en-US" w:eastAsia="id-ID"/>
              </w:rPr>
              <w:t xml:space="preserve"> Ventura </w:t>
            </w:r>
            <w:proofErr w:type="spellStart"/>
            <w:r w:rsidRPr="00FE1BEE">
              <w:rPr>
                <w:rFonts w:ascii="Times New Roman" w:eastAsia="Times New Roman" w:hAnsi="Times New Roman" w:cs="Times New Roman"/>
                <w:sz w:val="24"/>
                <w:szCs w:val="24"/>
                <w:lang w:val="en-US" w:eastAsia="id-ID"/>
              </w:rPr>
              <w:t>Bersama</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16</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Properti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Investasi</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17</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tabs>
                <w:tab w:val="left" w:pos="1755"/>
              </w:tabs>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Aset</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Tetap</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18</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tabs>
                <w:tab w:val="left" w:pos="2340"/>
              </w:tabs>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heme="minorHAnsi"/>
                <w:color w:val="211D1E"/>
                <w:sz w:val="24"/>
                <w:szCs w:val="24"/>
                <w:lang w:val="en-US" w:eastAsia="id-ID"/>
              </w:rPr>
              <w:t>Aset</w:t>
            </w:r>
            <w:proofErr w:type="spellEnd"/>
            <w:r w:rsidRPr="00FE1BEE">
              <w:rPr>
                <w:rFonts w:ascii="Times New Roman" w:eastAsia="Times New Roman" w:hAnsi="Times New Roman" w:cstheme="minorHAnsi"/>
                <w:color w:val="211D1E"/>
                <w:sz w:val="24"/>
                <w:szCs w:val="24"/>
                <w:lang w:val="en-US" w:eastAsia="id-ID"/>
              </w:rPr>
              <w:t xml:space="preserve"> </w:t>
            </w:r>
            <w:proofErr w:type="spellStart"/>
            <w:r w:rsidRPr="00FE1BEE">
              <w:rPr>
                <w:rFonts w:ascii="Times New Roman" w:eastAsia="Times New Roman" w:hAnsi="Times New Roman" w:cstheme="minorHAnsi"/>
                <w:color w:val="211D1E"/>
                <w:sz w:val="24"/>
                <w:szCs w:val="24"/>
                <w:lang w:val="en-US" w:eastAsia="id-ID"/>
              </w:rPr>
              <w:t>Takberwujud</w:t>
            </w:r>
            <w:proofErr w:type="spellEnd"/>
            <w:r w:rsidRPr="00FE1BEE">
              <w:rPr>
                <w:rFonts w:ascii="Times New Roman" w:eastAsia="Times New Roman" w:hAnsi="Times New Roman" w:cstheme="minorHAnsi"/>
                <w:color w:val="211D1E"/>
                <w:sz w:val="24"/>
                <w:szCs w:val="24"/>
                <w:lang w:val="en-US" w:eastAsia="id-ID"/>
              </w:rPr>
              <w:t xml:space="preserve"> </w:t>
            </w:r>
            <w:proofErr w:type="spellStart"/>
            <w:r w:rsidRPr="00FE1BEE">
              <w:rPr>
                <w:rFonts w:ascii="Times New Roman" w:eastAsia="Times New Roman" w:hAnsi="Times New Roman" w:cstheme="minorHAnsi"/>
                <w:color w:val="211D1E"/>
                <w:sz w:val="24"/>
                <w:szCs w:val="24"/>
                <w:lang w:val="en-US" w:eastAsia="id-ID"/>
              </w:rPr>
              <w:t>Selain</w:t>
            </w:r>
            <w:proofErr w:type="spellEnd"/>
            <w:r w:rsidRPr="00FE1BEE">
              <w:rPr>
                <w:rFonts w:ascii="Times New Roman" w:eastAsia="Times New Roman" w:hAnsi="Times New Roman" w:cstheme="minorHAnsi"/>
                <w:color w:val="211D1E"/>
                <w:sz w:val="24"/>
                <w:szCs w:val="24"/>
                <w:lang w:val="en-US" w:eastAsia="id-ID"/>
              </w:rPr>
              <w:t xml:space="preserve"> </w:t>
            </w:r>
            <w:r w:rsidRPr="00FE1BEE">
              <w:rPr>
                <w:rFonts w:ascii="Times New Roman" w:eastAsia="Times New Roman" w:hAnsi="Times New Roman" w:cstheme="minorHAnsi"/>
                <w:i/>
                <w:iCs/>
                <w:color w:val="211D1E"/>
                <w:sz w:val="24"/>
                <w:szCs w:val="24"/>
                <w:lang w:val="en-US" w:eastAsia="id-ID"/>
              </w:rPr>
              <w:t>Goodwill</w:t>
            </w:r>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19</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heme="minorHAnsi"/>
                <w:color w:val="211D1E"/>
                <w:sz w:val="24"/>
                <w:szCs w:val="24"/>
                <w:lang w:val="en-US" w:eastAsia="id-ID"/>
              </w:rPr>
              <w:t>Kombinasi</w:t>
            </w:r>
            <w:proofErr w:type="spellEnd"/>
            <w:r w:rsidRPr="00FE1BEE">
              <w:rPr>
                <w:rFonts w:ascii="Times New Roman" w:eastAsia="Times New Roman" w:hAnsi="Times New Roman" w:cstheme="minorHAnsi"/>
                <w:color w:val="211D1E"/>
                <w:sz w:val="24"/>
                <w:szCs w:val="24"/>
                <w:lang w:val="en-US" w:eastAsia="id-ID"/>
              </w:rPr>
              <w:t xml:space="preserve"> </w:t>
            </w:r>
            <w:proofErr w:type="spellStart"/>
            <w:r w:rsidRPr="00FE1BEE">
              <w:rPr>
                <w:rFonts w:ascii="Times New Roman" w:eastAsia="Times New Roman" w:hAnsi="Times New Roman" w:cstheme="minorHAnsi"/>
                <w:color w:val="211D1E"/>
                <w:sz w:val="24"/>
                <w:szCs w:val="24"/>
                <w:lang w:val="en-US" w:eastAsia="id-ID"/>
              </w:rPr>
              <w:t>Bisnis</w:t>
            </w:r>
            <w:proofErr w:type="spellEnd"/>
            <w:r w:rsidRPr="00FE1BEE">
              <w:rPr>
                <w:rFonts w:ascii="Times New Roman" w:eastAsia="Times New Roman" w:hAnsi="Times New Roman" w:cstheme="minorHAnsi"/>
                <w:color w:val="211D1E"/>
                <w:sz w:val="24"/>
                <w:szCs w:val="24"/>
                <w:lang w:val="en-US" w:eastAsia="id-ID"/>
              </w:rPr>
              <w:t xml:space="preserve"> </w:t>
            </w:r>
            <w:proofErr w:type="spellStart"/>
            <w:r w:rsidRPr="00FE1BEE">
              <w:rPr>
                <w:rFonts w:ascii="Times New Roman" w:eastAsia="Times New Roman" w:hAnsi="Times New Roman" w:cstheme="minorHAnsi"/>
                <w:color w:val="211D1E"/>
                <w:sz w:val="24"/>
                <w:szCs w:val="24"/>
                <w:lang w:val="en-US" w:eastAsia="id-ID"/>
              </w:rPr>
              <w:t>dan</w:t>
            </w:r>
            <w:proofErr w:type="spellEnd"/>
            <w:r w:rsidRPr="00FE1BEE">
              <w:rPr>
                <w:rFonts w:ascii="Times New Roman" w:eastAsia="Times New Roman" w:hAnsi="Times New Roman" w:cstheme="minorHAnsi"/>
                <w:color w:val="211D1E"/>
                <w:sz w:val="24"/>
                <w:szCs w:val="24"/>
                <w:lang w:val="en-US" w:eastAsia="id-ID"/>
              </w:rPr>
              <w:t xml:space="preserve"> </w:t>
            </w:r>
            <w:r w:rsidRPr="00FE1BEE">
              <w:rPr>
                <w:rFonts w:ascii="Times New Roman" w:eastAsia="Times New Roman" w:hAnsi="Times New Roman" w:cstheme="minorHAnsi"/>
                <w:i/>
                <w:iCs/>
                <w:color w:val="211D1E"/>
                <w:sz w:val="24"/>
                <w:szCs w:val="24"/>
                <w:lang w:val="en-US" w:eastAsia="id-ID"/>
              </w:rPr>
              <w:t>Goodwill</w:t>
            </w:r>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20</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Sewa</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21</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Provisi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Kontinjensi</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22</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Liabilitas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dan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Ekuitas</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23</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Pendapatan</w:t>
            </w:r>
            <w:proofErr w:type="spellEnd"/>
          </w:p>
        </w:tc>
      </w:tr>
      <w:tr w:rsidR="00FE1BEE" w:rsidRPr="00FE1BEE" w:rsidTr="00FE1BEE">
        <w:trPr>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24</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Hibah</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Pemerintah</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25</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Biaya</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Pinjaman</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26</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Pembayaran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Berbasis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Saham</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27</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Penurunan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Nilai</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Aset</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28</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Imbalan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Kerja</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29</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Pajak</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Penghasilan</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30</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Penjabaran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Valuta</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Asing</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31</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Hiperinflasi</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32</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Peristiwa</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Setelah</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Akhir</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Periode</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Pelaporan</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33</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Pengungkapan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Pihak</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Berelasi</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34</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Aktivitas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Khusus</w:t>
            </w:r>
            <w:proofErr w:type="spellEnd"/>
          </w:p>
        </w:tc>
      </w:tr>
      <w:tr w:rsidR="00FE1BEE" w:rsidRPr="00FE1BEE" w:rsidTr="00FE1BEE">
        <w:trPr>
          <w:trHeight w:val="124"/>
          <w:tblCellSpacing w:w="0" w:type="dxa"/>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after="0" w:line="360" w:lineRule="auto"/>
              <w:contextualSpacing/>
              <w:jc w:val="center"/>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val="en-US" w:eastAsia="id-ID"/>
              </w:rPr>
              <w:t>35</w:t>
            </w:r>
          </w:p>
        </w:tc>
        <w:tc>
          <w:tcPr>
            <w:tcW w:w="7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proofErr w:type="spellStart"/>
            <w:r w:rsidRPr="00FE1BEE">
              <w:rPr>
                <w:rFonts w:ascii="Times New Roman" w:eastAsia="Times New Roman" w:hAnsi="Times New Roman" w:cs="Times New Roman"/>
                <w:sz w:val="24"/>
                <w:szCs w:val="24"/>
                <w:lang w:val="en-US" w:eastAsia="id-ID"/>
              </w:rPr>
              <w:t>Ketentuan</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Transisi</w:t>
            </w:r>
            <w:proofErr w:type="spellEnd"/>
            <w:r w:rsidRPr="00FE1BEE">
              <w:rPr>
                <w:rFonts w:ascii="Times New Roman" w:eastAsia="Times New Roman" w:hAnsi="Times New Roman" w:cs="Times New Roman"/>
                <w:sz w:val="24"/>
                <w:szCs w:val="24"/>
                <w:lang w:val="en-US" w:eastAsia="id-ID"/>
              </w:rPr>
              <w:t xml:space="preserve"> SAK </w:t>
            </w:r>
            <w:proofErr w:type="spellStart"/>
            <w:r w:rsidRPr="00FE1BEE">
              <w:rPr>
                <w:rFonts w:ascii="Times New Roman" w:eastAsia="Times New Roman" w:hAnsi="Times New Roman" w:cs="Times New Roman"/>
                <w:sz w:val="24"/>
                <w:szCs w:val="24"/>
                <w:lang w:val="en-US" w:eastAsia="id-ID"/>
              </w:rPr>
              <w:t>Entitas</w:t>
            </w:r>
            <w:proofErr w:type="spellEnd"/>
            <w:r w:rsidRPr="00FE1BEE">
              <w:rPr>
                <w:rFonts w:ascii="Times New Roman" w:eastAsia="Times New Roman" w:hAnsi="Times New Roman" w:cs="Times New Roman"/>
                <w:sz w:val="24"/>
                <w:szCs w:val="24"/>
                <w:lang w:val="en-US" w:eastAsia="id-ID"/>
              </w:rPr>
              <w:t xml:space="preserve"> </w:t>
            </w:r>
            <w:proofErr w:type="spellStart"/>
            <w:r w:rsidRPr="00FE1BEE">
              <w:rPr>
                <w:rFonts w:ascii="Times New Roman" w:eastAsia="Times New Roman" w:hAnsi="Times New Roman" w:cs="Times New Roman"/>
                <w:sz w:val="24"/>
                <w:szCs w:val="24"/>
                <w:lang w:val="en-US" w:eastAsia="id-ID"/>
              </w:rPr>
              <w:t>Privat</w:t>
            </w:r>
            <w:proofErr w:type="spellEnd"/>
          </w:p>
        </w:tc>
      </w:tr>
    </w:tbl>
    <w:p w:rsidR="00FE1BEE" w:rsidRPr="00FE1BEE" w:rsidRDefault="00FE1BEE" w:rsidP="00CA2DF9">
      <w:pPr>
        <w:spacing w:before="100" w:beforeAutospacing="1" w:after="100" w:afterAutospacing="1" w:line="360" w:lineRule="auto"/>
        <w:rPr>
          <w:rFonts w:ascii="Times New Roman" w:eastAsia="Times New Roman" w:hAnsi="Times New Roman" w:cs="Times New Roman"/>
          <w:sz w:val="24"/>
          <w:szCs w:val="24"/>
          <w:lang w:eastAsia="id-ID"/>
        </w:rPr>
      </w:pPr>
      <w:bookmarkStart w:id="0" w:name="_GoBack"/>
      <w:bookmarkEnd w:id="0"/>
    </w:p>
    <w:p w:rsidR="001353AF" w:rsidRDefault="00FE1BEE" w:rsidP="00CA2DF9">
      <w:pPr>
        <w:pStyle w:val="ListParagraph"/>
        <w:numPr>
          <w:ilvl w:val="0"/>
          <w:numId w:val="1"/>
        </w:numPr>
        <w:spacing w:before="100" w:beforeAutospacing="1" w:after="100" w:afterAutospacing="1" w:line="360" w:lineRule="auto"/>
        <w:ind w:left="284"/>
        <w:rPr>
          <w:rFonts w:ascii="Times New Roman" w:eastAsia="Times New Roman" w:hAnsi="Times New Roman" w:cs="Times New Roman"/>
          <w:sz w:val="32"/>
          <w:szCs w:val="32"/>
          <w:lang w:eastAsia="id-ID"/>
        </w:rPr>
      </w:pPr>
      <w:r w:rsidRPr="00FE1BEE">
        <w:rPr>
          <w:rFonts w:ascii="Times New Roman" w:eastAsia="Times New Roman" w:hAnsi="Times New Roman" w:cs="Times New Roman"/>
          <w:sz w:val="32"/>
          <w:szCs w:val="32"/>
          <w:lang w:eastAsia="id-ID"/>
        </w:rPr>
        <w:t>Pengesahan SAK Entitas Privat</w:t>
      </w:r>
    </w:p>
    <w:p w:rsidR="00FE1BEE" w:rsidRPr="00FE1BEE" w:rsidRDefault="00FE1BEE" w:rsidP="00CA2DF9">
      <w:pPr>
        <w:spacing w:after="0" w:line="360" w:lineRule="auto"/>
        <w:ind w:firstLine="567"/>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 xml:space="preserve">Pada 30 Juni 2021 Dewan Standar Akuntansi Keuangan Ikatan Akuntan Indonesia (DSAK IAI) telah mengesahkan Standar Akuntansi Keuangan Entitas Privat (SAK EP) yang </w:t>
      </w:r>
      <w:r w:rsidRPr="00FE1BEE">
        <w:rPr>
          <w:rFonts w:ascii="Times New Roman" w:eastAsia="Times New Roman" w:hAnsi="Times New Roman" w:cs="Times New Roman"/>
          <w:sz w:val="24"/>
          <w:szCs w:val="24"/>
          <w:lang w:eastAsia="id-ID"/>
        </w:rPr>
        <w:lastRenderedPageBreak/>
        <w:t xml:space="preserve">merupakan adopsi dari </w:t>
      </w:r>
      <w:r w:rsidRPr="00FE1BEE">
        <w:rPr>
          <w:rFonts w:ascii="Times New Roman" w:eastAsia="Times New Roman" w:hAnsi="Times New Roman" w:cs="Times New Roman"/>
          <w:i/>
          <w:iCs/>
          <w:sz w:val="24"/>
          <w:szCs w:val="24"/>
          <w:lang w:eastAsia="id-ID"/>
        </w:rPr>
        <w:t>IFRS for SMEs</w:t>
      </w:r>
      <w:r w:rsidRPr="00FE1BEE">
        <w:rPr>
          <w:rFonts w:ascii="Times New Roman" w:eastAsia="Times New Roman" w:hAnsi="Times New Roman" w:cs="Times New Roman"/>
          <w:sz w:val="24"/>
          <w:szCs w:val="24"/>
          <w:lang w:eastAsia="id-ID"/>
        </w:rPr>
        <w:t xml:space="preserve"> dengan mempertimbangkan kondisi di Indonesia. SAK EP akan berlaku efektif pada 2025 dan diizinkan untuk diterapkan lebih awal. SAK EP akan menggantikan SAK Entitas Tanpa Akuntabilitas Publik (ETAP).</w:t>
      </w:r>
    </w:p>
    <w:p w:rsidR="00FE1BEE" w:rsidRPr="00FE1BEE" w:rsidRDefault="00FE1BEE" w:rsidP="00CA2DF9">
      <w:pPr>
        <w:spacing w:after="0"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SAK EP disusun untuk memenuhi kebutuhan pelaporan keuangan bagi entitas privat yaitu entitas yang tidak memiliki akuntabilitas publik dan menerbitkan laporan keuangan untuk tujuan umum (</w:t>
      </w:r>
      <w:r w:rsidRPr="00FE1BEE">
        <w:rPr>
          <w:rFonts w:ascii="Times New Roman" w:eastAsia="Times New Roman" w:hAnsi="Times New Roman" w:cs="Times New Roman"/>
          <w:i/>
          <w:iCs/>
          <w:sz w:val="24"/>
          <w:szCs w:val="24"/>
          <w:lang w:eastAsia="id-ID"/>
        </w:rPr>
        <w:t>general purpose financial statements</w:t>
      </w:r>
      <w:r w:rsidRPr="00FE1BEE">
        <w:rPr>
          <w:rFonts w:ascii="Times New Roman" w:eastAsia="Times New Roman" w:hAnsi="Times New Roman" w:cs="Times New Roman"/>
          <w:sz w:val="24"/>
          <w:szCs w:val="24"/>
          <w:lang w:eastAsia="id-ID"/>
        </w:rPr>
        <w:t>) bagi pengguna eksternal. Entitas yang memiliki akuntabilitas publik dapat menerapkan SAK EP jika diizinkan oleh regulasi otoritas berwenang.</w:t>
      </w:r>
    </w:p>
    <w:p w:rsidR="00FE1BEE" w:rsidRPr="00FE1BEE" w:rsidRDefault="00FE1BEE" w:rsidP="00CA2DF9">
      <w:pPr>
        <w:spacing w:after="0"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SAK EP lebih sederhana daripada SAK Umum yang berbasis IFRS, yaitu:</w:t>
      </w:r>
    </w:p>
    <w:p w:rsidR="00FE1BEE" w:rsidRPr="00FE1BEE" w:rsidRDefault="00FE1BEE" w:rsidP="00CA2DF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Menghilangkan topik yang tidak relevan bagi entitas privat, misalnya laba per saham, laporan keuangan interim, dan segmen operasi.</w:t>
      </w:r>
    </w:p>
    <w:p w:rsidR="00FE1BEE" w:rsidRPr="00FE1BEE" w:rsidRDefault="00FE1BEE" w:rsidP="00CA2DF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Menyederhanakan opsi kebijakan akuntansi, sehingga entitas privat akan mengikuti kebijakan akuntansi tunggal untuk transaksi, peristiwa atau kondisi tertentu. Misalnya, properti investasi diukur dengan model nilai wajar jika tanpa biaya atau upaya yang berlebihan. Jika memerlukan biaya atau upaya yang berlebihan, maka menggunakan model biaya.</w:t>
      </w:r>
    </w:p>
    <w:p w:rsidR="00FE1BEE" w:rsidRPr="00FE1BEE" w:rsidRDefault="00FE1BEE" w:rsidP="00CA2DF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Penyederhanaan beberapa prinsip pengakuan dan pengukuran.</w:t>
      </w:r>
    </w:p>
    <w:p w:rsidR="00FE1BEE" w:rsidRPr="00FE1BEE" w:rsidRDefault="00FE1BEE" w:rsidP="00CA2DF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Pengungkapan yang lebih sedikit.</w:t>
      </w:r>
    </w:p>
    <w:p w:rsidR="00FE1BEE" w:rsidRPr="00FE1BEE" w:rsidRDefault="00FE1BEE" w:rsidP="00CA2DF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Penggunaan bahasa yang lebih sederhana.</w:t>
      </w:r>
    </w:p>
    <w:p w:rsidR="00FE1BEE" w:rsidRPr="00FE1BEE" w:rsidRDefault="00FE1BEE" w:rsidP="00CA2DF9">
      <w:pPr>
        <w:spacing w:after="0" w:line="360" w:lineRule="auto"/>
        <w:jc w:val="both"/>
        <w:rPr>
          <w:rFonts w:ascii="Times New Roman" w:eastAsia="Times New Roman" w:hAnsi="Times New Roman" w:cs="Times New Roman"/>
          <w:sz w:val="24"/>
          <w:szCs w:val="24"/>
          <w:lang w:eastAsia="id-ID"/>
        </w:rPr>
      </w:pPr>
      <w:r w:rsidRPr="00FE1BEE">
        <w:rPr>
          <w:rFonts w:ascii="Times New Roman" w:eastAsia="Times New Roman" w:hAnsi="Times New Roman" w:cs="Times New Roman"/>
          <w:sz w:val="24"/>
          <w:szCs w:val="24"/>
          <w:lang w:eastAsia="id-ID"/>
        </w:rPr>
        <w:t>SAK EP memiliki perbedaan yang signifikan dengan SAK ETAP. Misalnya penggunaan nilai wajar untuk properti investasi dan aset biologis, penggunaan konsep penghasilan komprehensif lain (</w:t>
      </w:r>
      <w:r w:rsidRPr="00FE1BEE">
        <w:rPr>
          <w:rFonts w:ascii="Times New Roman" w:eastAsia="Times New Roman" w:hAnsi="Times New Roman" w:cs="Times New Roman"/>
          <w:i/>
          <w:iCs/>
          <w:sz w:val="24"/>
          <w:szCs w:val="24"/>
          <w:lang w:eastAsia="id-ID"/>
        </w:rPr>
        <w:t>other comprehensive income</w:t>
      </w:r>
      <w:r w:rsidRPr="00FE1BEE">
        <w:rPr>
          <w:rFonts w:ascii="Times New Roman" w:eastAsia="Times New Roman" w:hAnsi="Times New Roman" w:cs="Times New Roman"/>
          <w:sz w:val="24"/>
          <w:szCs w:val="24"/>
          <w:lang w:eastAsia="id-ID"/>
        </w:rPr>
        <w:t xml:space="preserve">), laporan keuangan konsolidasian, kombinasi bisnis dan </w:t>
      </w:r>
      <w:r w:rsidRPr="00FE1BEE">
        <w:rPr>
          <w:rFonts w:ascii="Times New Roman" w:eastAsia="Times New Roman" w:hAnsi="Times New Roman" w:cs="Times New Roman"/>
          <w:i/>
          <w:iCs/>
          <w:sz w:val="24"/>
          <w:szCs w:val="24"/>
          <w:lang w:eastAsia="id-ID"/>
        </w:rPr>
        <w:t>goodwill</w:t>
      </w:r>
      <w:r w:rsidRPr="00FE1BEE">
        <w:rPr>
          <w:rFonts w:ascii="Times New Roman" w:eastAsia="Times New Roman" w:hAnsi="Times New Roman" w:cs="Times New Roman"/>
          <w:sz w:val="24"/>
          <w:szCs w:val="24"/>
          <w:lang w:eastAsia="id-ID"/>
        </w:rPr>
        <w:t>, pengaturan lebih rinci untuk aset dan liabilitas keuangan, pajak tangguhan, dll. </w:t>
      </w:r>
    </w:p>
    <w:p w:rsidR="00FE1BEE" w:rsidRPr="00FE1BEE" w:rsidRDefault="00FE1BEE" w:rsidP="00FE1BEE">
      <w:pPr>
        <w:spacing w:after="0" w:line="240" w:lineRule="auto"/>
        <w:rPr>
          <w:rFonts w:ascii="Times New Roman" w:eastAsia="Times New Roman" w:hAnsi="Times New Roman" w:cs="Times New Roman"/>
          <w:sz w:val="24"/>
          <w:szCs w:val="24"/>
          <w:lang w:eastAsia="id-ID"/>
        </w:rPr>
      </w:pPr>
    </w:p>
    <w:p w:rsidR="00FE1BEE" w:rsidRPr="00FE1BEE" w:rsidRDefault="00FE1BEE" w:rsidP="00FE1BEE">
      <w:pPr>
        <w:pBdr>
          <w:bottom w:val="single" w:sz="6" w:space="1" w:color="auto"/>
        </w:pBdr>
        <w:spacing w:after="0" w:line="240" w:lineRule="auto"/>
        <w:jc w:val="center"/>
        <w:rPr>
          <w:rFonts w:ascii="Arial" w:eastAsia="Times New Roman" w:hAnsi="Arial" w:cs="Arial"/>
          <w:vanish/>
          <w:sz w:val="16"/>
          <w:szCs w:val="16"/>
          <w:lang w:eastAsia="id-ID"/>
        </w:rPr>
      </w:pPr>
      <w:r w:rsidRPr="00FE1BEE">
        <w:rPr>
          <w:rFonts w:ascii="Arial" w:eastAsia="Times New Roman" w:hAnsi="Arial" w:cs="Arial"/>
          <w:vanish/>
          <w:sz w:val="16"/>
          <w:szCs w:val="16"/>
          <w:lang w:eastAsia="id-ID"/>
        </w:rPr>
        <w:t>Top of Form</w:t>
      </w:r>
    </w:p>
    <w:p w:rsidR="00FE1BEE" w:rsidRPr="00FE1BEE" w:rsidRDefault="00FE1BEE" w:rsidP="00FE1BEE">
      <w:pPr>
        <w:pBdr>
          <w:top w:val="single" w:sz="6" w:space="1" w:color="auto"/>
        </w:pBdr>
        <w:spacing w:after="0" w:line="240" w:lineRule="auto"/>
        <w:jc w:val="center"/>
        <w:rPr>
          <w:rFonts w:ascii="Arial" w:eastAsia="Times New Roman" w:hAnsi="Arial" w:cs="Arial"/>
          <w:vanish/>
          <w:sz w:val="16"/>
          <w:szCs w:val="16"/>
          <w:lang w:eastAsia="id-ID"/>
        </w:rPr>
      </w:pPr>
      <w:r w:rsidRPr="00FE1BEE">
        <w:rPr>
          <w:rFonts w:ascii="Arial" w:eastAsia="Times New Roman" w:hAnsi="Arial" w:cs="Arial"/>
          <w:vanish/>
          <w:sz w:val="16"/>
          <w:szCs w:val="16"/>
          <w:lang w:eastAsia="id-ID"/>
        </w:rPr>
        <w:t>Bottom of Form</w:t>
      </w:r>
    </w:p>
    <w:p w:rsidR="00FE1BEE" w:rsidRPr="00FE1BEE" w:rsidRDefault="00FE1BEE" w:rsidP="00FE1BEE">
      <w:pPr>
        <w:spacing w:before="100" w:beforeAutospacing="1" w:after="100" w:afterAutospacing="1" w:line="240" w:lineRule="auto"/>
        <w:rPr>
          <w:rFonts w:ascii="Times New Roman" w:eastAsia="Times New Roman" w:hAnsi="Times New Roman" w:cs="Times New Roman"/>
          <w:sz w:val="32"/>
          <w:szCs w:val="32"/>
          <w:lang w:eastAsia="id-ID"/>
        </w:rPr>
      </w:pPr>
    </w:p>
    <w:p w:rsidR="00FE1BEE" w:rsidRDefault="00FE1BEE" w:rsidP="00FE1BEE">
      <w:pPr>
        <w:pStyle w:val="ListParagraph"/>
        <w:spacing w:before="100" w:beforeAutospacing="1" w:after="100" w:afterAutospacing="1" w:line="240" w:lineRule="auto"/>
        <w:ind w:left="284"/>
        <w:rPr>
          <w:rFonts w:ascii="Times New Roman" w:eastAsia="Times New Roman" w:hAnsi="Times New Roman" w:cs="Times New Roman"/>
          <w:sz w:val="24"/>
          <w:szCs w:val="24"/>
          <w:lang w:eastAsia="id-ID"/>
        </w:rPr>
      </w:pPr>
    </w:p>
    <w:p w:rsidR="00FE1BEE" w:rsidRPr="00C40226" w:rsidRDefault="00FE1BEE" w:rsidP="00C40226">
      <w:pPr>
        <w:spacing w:before="100" w:beforeAutospacing="1" w:after="100" w:afterAutospacing="1" w:line="240" w:lineRule="auto"/>
        <w:rPr>
          <w:rFonts w:ascii="Times New Roman" w:eastAsia="Times New Roman" w:hAnsi="Times New Roman" w:cs="Times New Roman"/>
          <w:sz w:val="24"/>
          <w:szCs w:val="24"/>
          <w:lang w:eastAsia="id-ID"/>
        </w:rPr>
      </w:pPr>
    </w:p>
    <w:p w:rsidR="009163EA" w:rsidRPr="009163EA" w:rsidRDefault="009163EA" w:rsidP="009163EA">
      <w:pPr>
        <w:pBdr>
          <w:bottom w:val="single" w:sz="6" w:space="1" w:color="auto"/>
        </w:pBdr>
        <w:spacing w:after="0" w:line="240" w:lineRule="auto"/>
        <w:jc w:val="center"/>
        <w:rPr>
          <w:rFonts w:ascii="Arial" w:eastAsia="Times New Roman" w:hAnsi="Arial" w:cs="Arial"/>
          <w:vanish/>
          <w:sz w:val="16"/>
          <w:szCs w:val="16"/>
          <w:lang w:eastAsia="id-ID"/>
        </w:rPr>
      </w:pPr>
      <w:r w:rsidRPr="009163EA">
        <w:rPr>
          <w:rFonts w:ascii="Arial" w:eastAsia="Times New Roman" w:hAnsi="Arial" w:cs="Arial"/>
          <w:vanish/>
          <w:sz w:val="16"/>
          <w:szCs w:val="16"/>
          <w:lang w:eastAsia="id-ID"/>
        </w:rPr>
        <w:t>Top of Form</w:t>
      </w:r>
    </w:p>
    <w:p w:rsidR="009163EA" w:rsidRPr="009163EA" w:rsidRDefault="009163EA" w:rsidP="009163EA">
      <w:pPr>
        <w:pBdr>
          <w:top w:val="single" w:sz="6" w:space="1" w:color="auto"/>
        </w:pBdr>
        <w:spacing w:after="0" w:line="240" w:lineRule="auto"/>
        <w:jc w:val="center"/>
        <w:rPr>
          <w:rFonts w:ascii="Arial" w:eastAsia="Times New Roman" w:hAnsi="Arial" w:cs="Arial"/>
          <w:vanish/>
          <w:sz w:val="16"/>
          <w:szCs w:val="16"/>
          <w:lang w:eastAsia="id-ID"/>
        </w:rPr>
      </w:pPr>
      <w:r w:rsidRPr="009163EA">
        <w:rPr>
          <w:rFonts w:ascii="Arial" w:eastAsia="Times New Roman" w:hAnsi="Arial" w:cs="Arial"/>
          <w:vanish/>
          <w:sz w:val="16"/>
          <w:szCs w:val="16"/>
          <w:lang w:eastAsia="id-ID"/>
        </w:rPr>
        <w:t>Bottom of Form</w:t>
      </w:r>
    </w:p>
    <w:p w:rsidR="004B33FC" w:rsidRDefault="004B33FC"/>
    <w:sectPr w:rsidR="004B3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6639"/>
    <w:multiLevelType w:val="multilevel"/>
    <w:tmpl w:val="E88A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71300"/>
    <w:multiLevelType w:val="hybridMultilevel"/>
    <w:tmpl w:val="37AE5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FF37F4"/>
    <w:multiLevelType w:val="multilevel"/>
    <w:tmpl w:val="B59A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EA"/>
    <w:rsid w:val="001353AF"/>
    <w:rsid w:val="004B33FC"/>
    <w:rsid w:val="009163EA"/>
    <w:rsid w:val="00C40226"/>
    <w:rsid w:val="00C44EA7"/>
    <w:rsid w:val="00CA2DF9"/>
    <w:rsid w:val="00FE1B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74E33-2207-4E2F-962E-CFFA88FA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3E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z-TopofForm">
    <w:name w:val="HTML Top of Form"/>
    <w:basedOn w:val="Normal"/>
    <w:next w:val="Normal"/>
    <w:link w:val="z-TopofFormChar"/>
    <w:hidden/>
    <w:uiPriority w:val="99"/>
    <w:semiHidden/>
    <w:unhideWhenUsed/>
    <w:rsid w:val="009163EA"/>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9163EA"/>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9163EA"/>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9163EA"/>
    <w:rPr>
      <w:rFonts w:ascii="Arial" w:eastAsia="Times New Roman" w:hAnsi="Arial" w:cs="Arial"/>
      <w:vanish/>
      <w:sz w:val="16"/>
      <w:szCs w:val="16"/>
      <w:lang w:eastAsia="id-ID"/>
    </w:rPr>
  </w:style>
  <w:style w:type="paragraph" w:styleId="ListParagraph">
    <w:name w:val="List Paragraph"/>
    <w:basedOn w:val="Normal"/>
    <w:uiPriority w:val="34"/>
    <w:qFormat/>
    <w:rsid w:val="009163EA"/>
    <w:pPr>
      <w:ind w:left="720"/>
      <w:contextualSpacing/>
    </w:pPr>
  </w:style>
  <w:style w:type="character" w:customStyle="1" w:styleId="a7">
    <w:name w:val="a7"/>
    <w:basedOn w:val="DefaultParagraphFont"/>
    <w:rsid w:val="00FE1BEE"/>
  </w:style>
  <w:style w:type="paragraph" w:customStyle="1" w:styleId="pa13">
    <w:name w:val="pa13"/>
    <w:basedOn w:val="Normal"/>
    <w:rsid w:val="00FE1BE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basedOn w:val="Normal"/>
    <w:rsid w:val="00FE1BE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3445">
      <w:bodyDiv w:val="1"/>
      <w:marLeft w:val="0"/>
      <w:marRight w:val="0"/>
      <w:marTop w:val="0"/>
      <w:marBottom w:val="0"/>
      <w:divBdr>
        <w:top w:val="none" w:sz="0" w:space="0" w:color="auto"/>
        <w:left w:val="none" w:sz="0" w:space="0" w:color="auto"/>
        <w:bottom w:val="none" w:sz="0" w:space="0" w:color="auto"/>
        <w:right w:val="none" w:sz="0" w:space="0" w:color="auto"/>
      </w:divBdr>
      <w:divsChild>
        <w:div w:id="1637487154">
          <w:marLeft w:val="0"/>
          <w:marRight w:val="0"/>
          <w:marTop w:val="0"/>
          <w:marBottom w:val="0"/>
          <w:divBdr>
            <w:top w:val="none" w:sz="0" w:space="0" w:color="auto"/>
            <w:left w:val="none" w:sz="0" w:space="0" w:color="auto"/>
            <w:bottom w:val="none" w:sz="0" w:space="0" w:color="auto"/>
            <w:right w:val="none" w:sz="0" w:space="0" w:color="auto"/>
          </w:divBdr>
          <w:divsChild>
            <w:div w:id="757022650">
              <w:marLeft w:val="0"/>
              <w:marRight w:val="0"/>
              <w:marTop w:val="0"/>
              <w:marBottom w:val="0"/>
              <w:divBdr>
                <w:top w:val="none" w:sz="0" w:space="0" w:color="auto"/>
                <w:left w:val="none" w:sz="0" w:space="0" w:color="auto"/>
                <w:bottom w:val="none" w:sz="0" w:space="0" w:color="auto"/>
                <w:right w:val="none" w:sz="0" w:space="0" w:color="auto"/>
              </w:divBdr>
              <w:divsChild>
                <w:div w:id="1038579244">
                  <w:marLeft w:val="0"/>
                  <w:marRight w:val="0"/>
                  <w:marTop w:val="0"/>
                  <w:marBottom w:val="0"/>
                  <w:divBdr>
                    <w:top w:val="none" w:sz="0" w:space="0" w:color="auto"/>
                    <w:left w:val="none" w:sz="0" w:space="0" w:color="auto"/>
                    <w:bottom w:val="none" w:sz="0" w:space="0" w:color="auto"/>
                    <w:right w:val="none" w:sz="0" w:space="0" w:color="auto"/>
                  </w:divBdr>
                  <w:divsChild>
                    <w:div w:id="544172711">
                      <w:marLeft w:val="0"/>
                      <w:marRight w:val="0"/>
                      <w:marTop w:val="0"/>
                      <w:marBottom w:val="0"/>
                      <w:divBdr>
                        <w:top w:val="none" w:sz="0" w:space="0" w:color="auto"/>
                        <w:left w:val="none" w:sz="0" w:space="0" w:color="auto"/>
                        <w:bottom w:val="none" w:sz="0" w:space="0" w:color="auto"/>
                        <w:right w:val="none" w:sz="0" w:space="0" w:color="auto"/>
                      </w:divBdr>
                      <w:divsChild>
                        <w:div w:id="857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625602">
      <w:bodyDiv w:val="1"/>
      <w:marLeft w:val="0"/>
      <w:marRight w:val="0"/>
      <w:marTop w:val="0"/>
      <w:marBottom w:val="0"/>
      <w:divBdr>
        <w:top w:val="none" w:sz="0" w:space="0" w:color="auto"/>
        <w:left w:val="none" w:sz="0" w:space="0" w:color="auto"/>
        <w:bottom w:val="none" w:sz="0" w:space="0" w:color="auto"/>
        <w:right w:val="none" w:sz="0" w:space="0" w:color="auto"/>
      </w:divBdr>
    </w:div>
    <w:div w:id="1010177039">
      <w:bodyDiv w:val="1"/>
      <w:marLeft w:val="0"/>
      <w:marRight w:val="0"/>
      <w:marTop w:val="0"/>
      <w:marBottom w:val="0"/>
      <w:divBdr>
        <w:top w:val="none" w:sz="0" w:space="0" w:color="auto"/>
        <w:left w:val="none" w:sz="0" w:space="0" w:color="auto"/>
        <w:bottom w:val="none" w:sz="0" w:space="0" w:color="auto"/>
        <w:right w:val="none" w:sz="0" w:space="0" w:color="auto"/>
      </w:divBdr>
      <w:divsChild>
        <w:div w:id="958219781">
          <w:marLeft w:val="0"/>
          <w:marRight w:val="0"/>
          <w:marTop w:val="0"/>
          <w:marBottom w:val="0"/>
          <w:divBdr>
            <w:top w:val="none" w:sz="0" w:space="0" w:color="auto"/>
            <w:left w:val="none" w:sz="0" w:space="0" w:color="auto"/>
            <w:bottom w:val="none" w:sz="0" w:space="0" w:color="auto"/>
            <w:right w:val="none" w:sz="0" w:space="0" w:color="auto"/>
          </w:divBdr>
          <w:divsChild>
            <w:div w:id="639309146">
              <w:marLeft w:val="0"/>
              <w:marRight w:val="0"/>
              <w:marTop w:val="0"/>
              <w:marBottom w:val="0"/>
              <w:divBdr>
                <w:top w:val="none" w:sz="0" w:space="0" w:color="auto"/>
                <w:left w:val="none" w:sz="0" w:space="0" w:color="auto"/>
                <w:bottom w:val="none" w:sz="0" w:space="0" w:color="auto"/>
                <w:right w:val="none" w:sz="0" w:space="0" w:color="auto"/>
              </w:divBdr>
              <w:divsChild>
                <w:div w:id="1761560355">
                  <w:marLeft w:val="0"/>
                  <w:marRight w:val="0"/>
                  <w:marTop w:val="0"/>
                  <w:marBottom w:val="0"/>
                  <w:divBdr>
                    <w:top w:val="none" w:sz="0" w:space="0" w:color="auto"/>
                    <w:left w:val="none" w:sz="0" w:space="0" w:color="auto"/>
                    <w:bottom w:val="none" w:sz="0" w:space="0" w:color="auto"/>
                    <w:right w:val="none" w:sz="0" w:space="0" w:color="auto"/>
                  </w:divBdr>
                  <w:divsChild>
                    <w:div w:id="496772108">
                      <w:marLeft w:val="0"/>
                      <w:marRight w:val="0"/>
                      <w:marTop w:val="0"/>
                      <w:marBottom w:val="0"/>
                      <w:divBdr>
                        <w:top w:val="none" w:sz="0" w:space="0" w:color="auto"/>
                        <w:left w:val="none" w:sz="0" w:space="0" w:color="auto"/>
                        <w:bottom w:val="none" w:sz="0" w:space="0" w:color="auto"/>
                        <w:right w:val="none" w:sz="0" w:space="0" w:color="auto"/>
                      </w:divBdr>
                      <w:divsChild>
                        <w:div w:id="2136439811">
                          <w:marLeft w:val="0"/>
                          <w:marRight w:val="0"/>
                          <w:marTop w:val="0"/>
                          <w:marBottom w:val="0"/>
                          <w:divBdr>
                            <w:top w:val="none" w:sz="0" w:space="0" w:color="auto"/>
                            <w:left w:val="none" w:sz="0" w:space="0" w:color="auto"/>
                            <w:bottom w:val="none" w:sz="0" w:space="0" w:color="auto"/>
                            <w:right w:val="none" w:sz="0" w:space="0" w:color="auto"/>
                          </w:divBdr>
                          <w:divsChild>
                            <w:div w:id="199126298">
                              <w:marLeft w:val="0"/>
                              <w:marRight w:val="0"/>
                              <w:marTop w:val="0"/>
                              <w:marBottom w:val="0"/>
                              <w:divBdr>
                                <w:top w:val="none" w:sz="0" w:space="0" w:color="auto"/>
                                <w:left w:val="none" w:sz="0" w:space="0" w:color="auto"/>
                                <w:bottom w:val="none" w:sz="0" w:space="0" w:color="auto"/>
                                <w:right w:val="none" w:sz="0" w:space="0" w:color="auto"/>
                              </w:divBdr>
                            </w:div>
                            <w:div w:id="897012291">
                              <w:marLeft w:val="0"/>
                              <w:marRight w:val="0"/>
                              <w:marTop w:val="0"/>
                              <w:marBottom w:val="0"/>
                              <w:divBdr>
                                <w:top w:val="none" w:sz="0" w:space="0" w:color="auto"/>
                                <w:left w:val="none" w:sz="0" w:space="0" w:color="auto"/>
                                <w:bottom w:val="none" w:sz="0" w:space="0" w:color="auto"/>
                                <w:right w:val="none" w:sz="0" w:space="0" w:color="auto"/>
                              </w:divBdr>
                            </w:div>
                            <w:div w:id="1790006051">
                              <w:marLeft w:val="0"/>
                              <w:marRight w:val="0"/>
                              <w:marTop w:val="0"/>
                              <w:marBottom w:val="0"/>
                              <w:divBdr>
                                <w:top w:val="none" w:sz="0" w:space="0" w:color="auto"/>
                                <w:left w:val="none" w:sz="0" w:space="0" w:color="auto"/>
                                <w:bottom w:val="none" w:sz="0" w:space="0" w:color="auto"/>
                                <w:right w:val="none" w:sz="0" w:space="0" w:color="auto"/>
                              </w:divBdr>
                            </w:div>
                            <w:div w:id="2068140360">
                              <w:marLeft w:val="0"/>
                              <w:marRight w:val="0"/>
                              <w:marTop w:val="0"/>
                              <w:marBottom w:val="0"/>
                              <w:divBdr>
                                <w:top w:val="none" w:sz="0" w:space="0" w:color="auto"/>
                                <w:left w:val="none" w:sz="0" w:space="0" w:color="auto"/>
                                <w:bottom w:val="none" w:sz="0" w:space="0" w:color="auto"/>
                                <w:right w:val="none" w:sz="0" w:space="0" w:color="auto"/>
                              </w:divBdr>
                            </w:div>
                            <w:div w:id="11978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2721">
      <w:bodyDiv w:val="1"/>
      <w:marLeft w:val="0"/>
      <w:marRight w:val="0"/>
      <w:marTop w:val="0"/>
      <w:marBottom w:val="0"/>
      <w:divBdr>
        <w:top w:val="none" w:sz="0" w:space="0" w:color="auto"/>
        <w:left w:val="none" w:sz="0" w:space="0" w:color="auto"/>
        <w:bottom w:val="none" w:sz="0" w:space="0" w:color="auto"/>
        <w:right w:val="none" w:sz="0" w:space="0" w:color="auto"/>
      </w:divBdr>
      <w:divsChild>
        <w:div w:id="1040087474">
          <w:marLeft w:val="0"/>
          <w:marRight w:val="0"/>
          <w:marTop w:val="0"/>
          <w:marBottom w:val="0"/>
          <w:divBdr>
            <w:top w:val="none" w:sz="0" w:space="0" w:color="auto"/>
            <w:left w:val="none" w:sz="0" w:space="0" w:color="auto"/>
            <w:bottom w:val="none" w:sz="0" w:space="0" w:color="auto"/>
            <w:right w:val="none" w:sz="0" w:space="0" w:color="auto"/>
          </w:divBdr>
          <w:divsChild>
            <w:div w:id="1545366263">
              <w:marLeft w:val="0"/>
              <w:marRight w:val="0"/>
              <w:marTop w:val="0"/>
              <w:marBottom w:val="0"/>
              <w:divBdr>
                <w:top w:val="none" w:sz="0" w:space="0" w:color="auto"/>
                <w:left w:val="none" w:sz="0" w:space="0" w:color="auto"/>
                <w:bottom w:val="none" w:sz="0" w:space="0" w:color="auto"/>
                <w:right w:val="none" w:sz="0" w:space="0" w:color="auto"/>
              </w:divBdr>
              <w:divsChild>
                <w:div w:id="621696589">
                  <w:marLeft w:val="0"/>
                  <w:marRight w:val="0"/>
                  <w:marTop w:val="0"/>
                  <w:marBottom w:val="0"/>
                  <w:divBdr>
                    <w:top w:val="none" w:sz="0" w:space="0" w:color="auto"/>
                    <w:left w:val="none" w:sz="0" w:space="0" w:color="auto"/>
                    <w:bottom w:val="none" w:sz="0" w:space="0" w:color="auto"/>
                    <w:right w:val="none" w:sz="0" w:space="0" w:color="auto"/>
                  </w:divBdr>
                  <w:divsChild>
                    <w:div w:id="1172719552">
                      <w:marLeft w:val="0"/>
                      <w:marRight w:val="0"/>
                      <w:marTop w:val="0"/>
                      <w:marBottom w:val="0"/>
                      <w:divBdr>
                        <w:top w:val="none" w:sz="0" w:space="0" w:color="auto"/>
                        <w:left w:val="none" w:sz="0" w:space="0" w:color="auto"/>
                        <w:bottom w:val="none" w:sz="0" w:space="0" w:color="auto"/>
                        <w:right w:val="none" w:sz="0" w:space="0" w:color="auto"/>
                      </w:divBdr>
                      <w:divsChild>
                        <w:div w:id="513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0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2023-01-05T01:01:00Z</dcterms:created>
  <dcterms:modified xsi:type="dcterms:W3CDTF">2023-01-05T01:01:00Z</dcterms:modified>
</cp:coreProperties>
</file>